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报 价 函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致：广元市投资发展集团有限公司：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我方全面研究了贵公司2022年中期票据律师事务所选聘公告，完全接受和满足选聘公告中规定的实质性要求，所提供的所有资料都是真实的、有效的、合法的。我方决定参加报价，现报价如下：</w:t>
      </w:r>
    </w:p>
    <w:p>
      <w:pPr>
        <w:spacing w:line="360" w:lineRule="auto"/>
        <w:ind w:firstLine="640" w:firstLineChars="200"/>
        <w:jc w:val="lef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贵司2022年中期票据法律服务投标报价金额为人民币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元（大写：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分），报价邮箱为：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。</w:t>
      </w: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报价人（公章）：</w:t>
      </w: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年 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854027"/>
    <w:rsid w:val="78854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2022-05-17T08:49:00Z</dcterms:created>
  <dc:creator>aoc</dc:creator>
  <cp:lastModifiedBy>aoc</cp:lastModifiedBy>
  <dcterms:modified xsi:type="dcterms:W3CDTF">2022-05-17T08:49:25Z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